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819"/>
        <w:gridCol w:w="4253"/>
        <w:gridCol w:w="1134"/>
        <w:gridCol w:w="1134"/>
        <w:gridCol w:w="1559"/>
      </w:tblGrid>
      <w:tr w:rsidR="004739E4" w:rsidRPr="004739E4" w:rsidTr="00662609">
        <w:trPr>
          <w:trHeight w:val="570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481" w:rsidRPr="004739E4" w:rsidRDefault="00BF6481" w:rsidP="00BF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METAS EQUIPO HME: ESTUDIANTES</w:t>
            </w:r>
          </w:p>
        </w:tc>
      </w:tr>
      <w:tr w:rsidR="004739E4" w:rsidRPr="004739E4" w:rsidTr="00BF6481">
        <w:trPr>
          <w:trHeight w:val="841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BA" w:rsidRPr="004739E4" w:rsidRDefault="00474DBA" w:rsidP="008103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COMPONENTE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BA" w:rsidRPr="004739E4" w:rsidRDefault="00474DBA" w:rsidP="008103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ACCIONES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BA" w:rsidRPr="004739E4" w:rsidRDefault="00474DBA" w:rsidP="008103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FECHA DE INICIO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BA" w:rsidRPr="004739E4" w:rsidRDefault="00474DBA" w:rsidP="008103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FECHA FINAL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BA" w:rsidRPr="004739E4" w:rsidRDefault="00474DBA" w:rsidP="008103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PORCENTAJE ALCANZADO</w:t>
            </w:r>
          </w:p>
        </w:tc>
      </w:tr>
      <w:tr w:rsidR="004739E4" w:rsidRPr="004739E4" w:rsidTr="00BF6481">
        <w:trPr>
          <w:trHeight w:val="188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PROGRESO Y DESEMPEÑO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A0" w:rsidRPr="004739E4" w:rsidRDefault="00423DA0" w:rsidP="00AA2E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1. El 100% de los estudia</w:t>
            </w:r>
            <w:r w:rsidR="00BF6481" w:rsidRPr="004739E4">
              <w:rPr>
                <w:rFonts w:ascii="Century Gothic" w:eastAsia="Times New Roman" w:hAnsi="Century Gothic" w:cs="Calibri"/>
                <w:lang w:eastAsia="es-CO"/>
              </w:rPr>
              <w:t>ntes participa en actividades y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/o proyectos donde puede desarrollar habilidades para  leer, observar, analizar y argumentar fortaleciendo el pensamiento crítico y las habilidades comunicativas  en todas las áreas durante cada periodo.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A0" w:rsidRPr="004739E4" w:rsidRDefault="00423DA0" w:rsidP="00AA2E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1.1. Involucramiento de todos  los  estudiantes en proyectos de aula y actividades de clase motivados por líderes estudiantiles. </w:t>
            </w:r>
          </w:p>
          <w:p w:rsidR="00BF6481" w:rsidRPr="004739E4" w:rsidRDefault="00BF6481" w:rsidP="00AA2E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1.2. Participar en las reflexiones sobre el mejoramiento académico lideradas por líderes estudiantiles.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13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EFICIENCIA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A0" w:rsidRPr="004739E4" w:rsidRDefault="00BF6481" w:rsidP="00BF648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2. El 95</w:t>
            </w:r>
            <w:r w:rsidR="00423DA0" w:rsidRPr="004739E4">
              <w:rPr>
                <w:rFonts w:ascii="Century Gothic" w:eastAsia="Times New Roman" w:hAnsi="Century Gothic" w:cs="Calibri"/>
                <w:lang w:eastAsia="es-CO"/>
              </w:rPr>
              <w:t>% de los estudiantes realiza pre</w:t>
            </w:r>
            <w:r w:rsidR="00127B43" w:rsidRPr="004739E4">
              <w:rPr>
                <w:rFonts w:ascii="Century Gothic" w:eastAsia="Times New Roman" w:hAnsi="Century Gothic" w:cs="Calibri"/>
                <w:lang w:eastAsia="es-CO"/>
              </w:rPr>
              <w:t>-</w:t>
            </w:r>
            <w:r w:rsidR="00423DA0" w:rsidRPr="004739E4">
              <w:rPr>
                <w:rFonts w:ascii="Century Gothic" w:eastAsia="Times New Roman" w:hAnsi="Century Gothic" w:cs="Calibri"/>
                <w:lang w:eastAsia="es-CO"/>
              </w:rPr>
              <w:t xml:space="preserve">matrícula académica y participa de una encuesta de percepción institucional.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A0" w:rsidRPr="004739E4" w:rsidRDefault="00423DA0" w:rsidP="00AA2E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2.1. Diligenciamiento de pre</w:t>
            </w:r>
            <w:r w:rsidR="00127B43" w:rsidRPr="004739E4">
              <w:rPr>
                <w:rFonts w:ascii="Century Gothic" w:eastAsia="Times New Roman" w:hAnsi="Century Gothic" w:cs="Calibri"/>
                <w:lang w:eastAsia="es-CO"/>
              </w:rPr>
              <w:t>-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matrícula para el año 2016.                                           </w:t>
            </w:r>
            <w:r w:rsidR="00BF6481" w:rsidRPr="004739E4">
              <w:rPr>
                <w:rFonts w:ascii="Century Gothic" w:eastAsia="Times New Roman" w:hAnsi="Century Gothic" w:cs="Calibri"/>
                <w:lang w:eastAsia="es-CO"/>
              </w:rPr>
              <w:t xml:space="preserve"> 2.2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. Diligenciamiento de Encuesta de Percepción institucional para el mejoramiento y al mismo tiempo se  indaga por factores de   deserción escolar.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9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AMBIENTE ESCOLAR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A0" w:rsidRPr="004739E4" w:rsidRDefault="00423DA0" w:rsidP="00AA2E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3. El 100% de los estudiantes reconoce y aplica estrategias para la resolución de conflictos.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DA0" w:rsidRPr="004739E4" w:rsidRDefault="00423DA0" w:rsidP="00AA2E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3.1.   Mediante estudios de caso  se realiza la Identificación de las estrategias de </w:t>
            </w:r>
            <w:proofErr w:type="spellStart"/>
            <w:r w:rsidRPr="004739E4">
              <w:rPr>
                <w:rFonts w:ascii="Century Gothic" w:eastAsia="Times New Roman" w:hAnsi="Century Gothic" w:cs="Calibri"/>
                <w:lang w:eastAsia="es-CO"/>
              </w:rPr>
              <w:t>Kelso</w:t>
            </w:r>
            <w:proofErr w:type="spellEnd"/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 para la resolución de conflictos.</w:t>
            </w:r>
          </w:p>
          <w:p w:rsidR="00BF6481" w:rsidRPr="004739E4" w:rsidRDefault="00BF6481" w:rsidP="00AA2E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3.2. Los estudiantes participan en las clases de la Cátedra de la paz contextualizando su realidad y conociendo formas de solucionar sus conflictos.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DA0" w:rsidRPr="004739E4" w:rsidRDefault="00423DA0" w:rsidP="00423DA0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</w:tbl>
    <w:p w:rsidR="00A77435" w:rsidRPr="004739E4" w:rsidRDefault="00A77435"/>
    <w:p w:rsidR="00810308" w:rsidRPr="004739E4" w:rsidRDefault="00810308"/>
    <w:p w:rsidR="00810308" w:rsidRPr="004739E4" w:rsidRDefault="00810308"/>
    <w:p w:rsidR="00810308" w:rsidRPr="004739E4" w:rsidRDefault="00810308"/>
    <w:p w:rsidR="00810308" w:rsidRPr="004739E4" w:rsidRDefault="00810308"/>
    <w:p w:rsidR="00810308" w:rsidRPr="004739E4" w:rsidRDefault="00810308"/>
    <w:p w:rsidR="00810308" w:rsidRPr="004739E4" w:rsidRDefault="0081030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86"/>
        <w:gridCol w:w="4338"/>
        <w:gridCol w:w="1283"/>
        <w:gridCol w:w="959"/>
        <w:gridCol w:w="1960"/>
      </w:tblGrid>
      <w:tr w:rsidR="004739E4" w:rsidRPr="004739E4" w:rsidTr="0081030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</w:pPr>
            <w:bookmarkStart w:id="0" w:name="RANGE!A1:F17"/>
            <w:r w:rsidRPr="004739E4"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  <w:lastRenderedPageBreak/>
              <w:t>METAS EQUIPO HME: DOCENTES</w:t>
            </w:r>
            <w:bookmarkEnd w:id="0"/>
          </w:p>
        </w:tc>
      </w:tr>
      <w:tr w:rsidR="004739E4" w:rsidRPr="004739E4" w:rsidTr="00BF6481">
        <w:trPr>
          <w:trHeight w:val="540"/>
        </w:trPr>
        <w:tc>
          <w:tcPr>
            <w:tcW w:w="21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08" w:rsidRPr="004739E4" w:rsidRDefault="00810308" w:rsidP="00474D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COMPONENTE</w:t>
            </w:r>
          </w:p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ACCIONES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CO"/>
              </w:rPr>
              <w:t xml:space="preserve">FECHA DE INICIO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CO"/>
              </w:rPr>
              <w:t xml:space="preserve">FECHA FINAL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CO"/>
              </w:rPr>
              <w:t xml:space="preserve">PORCENTAJE ALCANZADO </w:t>
            </w:r>
          </w:p>
        </w:tc>
      </w:tr>
      <w:tr w:rsidR="004739E4" w:rsidRPr="004739E4" w:rsidTr="00614846">
        <w:trPr>
          <w:trHeight w:val="189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 xml:space="preserve">PROGRESO 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Cada periodo el 100% de los maestros aplican  estrategias y ejecutan proyectos  que motiven a los estudiantes a participar con más interés en su proceso de aprendizaje.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1.1. Creación de estrategias y/o proyectos de aula donde priorice la resolución de problemas y las estrategias de lectura y escritura con fines específicos.                                                                                                                                                                                                                         1.2 Inclusión de los DBA de lenguaje  y matemáticas en las planeación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614846">
        <w:trPr>
          <w:trHeight w:val="2495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2.El 100% de los maestros  en cada nivel educativo propicia la resolución de problemas como una estrategia para el desarrollo del pensamiento estratégico y matemático 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614846" w:rsidP="00614846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2.1. </w:t>
            </w:r>
            <w:r w:rsidR="00810308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Planteamiento de situaciones problema especialmente  en matemáticas para ejercitar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competencias de resolución</w:t>
            </w:r>
            <w:r w:rsidR="00810308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y comunicación.                                                                                                      2.2 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Continuar participando en las Sesiones de Trabajo Situado del Programa Todos a Aprender </w:t>
            </w:r>
            <w:r w:rsidR="00810308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para fundamentar a los maestros de primaria en Conocimiento Pedagógico y didáctico para la enseñanza de las matemáticas. </w:t>
            </w:r>
          </w:p>
          <w:p w:rsidR="00614846" w:rsidRPr="004739E4" w:rsidRDefault="00614846" w:rsidP="00614846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2.3. Llevar a la práctica y contextualizar las estrategias planteadas por el PTA, de manera estructurada en cada clase.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614846">
        <w:trPr>
          <w:trHeight w:val="409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Cada periodo el 100% de los m</w:t>
            </w:r>
            <w:r w:rsidR="00614846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aestros en cada nivel educativo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y desde su área  propicia estrategias de lectura y escritura que permitan el desarrollo de habilidades para la comprensión. 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06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3.1Diseño de estrategias para reforzar competencias para la comprensión.                                                                                                          3.2. Participación en la maratón de lectura, toda primaria y en secundaria se priorizan los grados 7 y 9.                                                                                                                            3.3. Inclusión en las planeaciones  de actividades de lectura que contemplen los tres momentos: pre-lectura, durante y pos lectura.  </w:t>
            </w:r>
          </w:p>
          <w:p w:rsidR="00810308" w:rsidRPr="004739E4" w:rsidRDefault="00810308" w:rsidP="006148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3.4. Realización de ejercicios de lectura rápida utilizando los libros de LEA que dispone la institución.                                                                            3.5. </w:t>
            </w:r>
            <w:r w:rsidR="00614846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D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iseñar una propuesta de intervención para dedicar horas específicas para reforzar procesos de comprensión lectora y preparación para las pruebas externas.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2393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4. El 100% de los docentes diseñan y ejecutan un plan de intervención  </w:t>
            </w:r>
            <w:r w:rsidR="00614846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o de Mejoramiento 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en su área o grado a partir de los avances por periodo o de los resultados de pruebas externas y lo implementan cada periodo.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4.1. Diseño de un plan de intervención de acuerdo al análisis de resultados en pruebas externas mediante la utilización de los cuadernillos de pruebas  Saber  y otros diseñados para tal fin.                                                                                                                              4.2  Implementación del Proyecto Ceres: Diseño de actividades, guías que buscan desarrollar habilidades críticas identificadas en las pruebas estandarizadas aplicadas.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3207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El 100% de las maestras de transición diseñan y desarrollan estrategias que fortalezcan las competencias comunicativas, ciudadanas, matemáticas y científicas, privilegiando procesos de interpretación y argumentación  mediante la oralidad en cada periodo.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5.1. Establecimiento de referentes mínimos en lenguaje  y matemáticas, que sean alcanzables en este nivel.   </w:t>
            </w:r>
          </w:p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5.2  Priorización de actividades que desarrollen las   competencias comunicativas, ciudadanas, matemáticas y científicas.    </w:t>
            </w:r>
          </w:p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5.3  Incremento de  actividades que desarrollen  procesos de interpretación, argumentación mediante la oralidad.        </w:t>
            </w:r>
          </w:p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5.4  Planificación de actividades de adiestramiento que permitan el avance de capacidades motrices finas y gruesas. </w:t>
            </w:r>
          </w:p>
          <w:p w:rsidR="00614846" w:rsidRPr="004739E4" w:rsidRDefault="00614846" w:rsidP="006148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5.5. Uso de material concreto para la iniciación de los conceptos lógicos matemáticos.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2406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DESEMPEÑO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A noviembre de 2015 los docentes de matemáticas y lenguaje de prime</w:t>
            </w:r>
            <w:r w:rsidR="00614846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ro a undécimo grado incluyen y 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utilizan los Derechos Básicos de Aprendizaje como un punto de partida para las apropiaciones / adaptaciones de los planes de estudio y planeación de clases.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6.1. Estudio de los DBA e inclusión en las planeaciones de clase.  </w:t>
            </w:r>
          </w:p>
          <w:p w:rsidR="00F21F06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6.2 Inclusión de los DBA en los planes de estudio.        </w:t>
            </w:r>
          </w:p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6.3 En semana institucional revisar los planes de estudio para la correspondiente actualización con relación a los DBA y las matrices de referencia de las pruebas Saber 3,</w:t>
            </w:r>
            <w:r w:rsidR="00614846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5,</w:t>
            </w:r>
            <w:r w:rsidR="00614846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9 y 11.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1685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El 100% de los maestros trabajan en equipo a nivel de área y de ciclos de aprendizaje durante cada periodo escolar garantizando el cumplimiento de los derechos básicos del aprendizaje y el alcance de las metas de aprendizaje.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7.1   Realización de comités de área para realizar seguimiento a la apropiación de DBA y cumplimiento de los mismos, así como el alcance de las metas de aprendizaje.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1423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lastRenderedPageBreak/>
              <w:t>EFICIENCIA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El 100% de los maestros realiza evaluación permanente del aprendizaje y de las competencias desarrolladas, de tipo diagnóstica y formativa durante cada bimestre académico.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8.1Uso de evaluación formativa cada periodo para identificar avances en aprendizajes.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845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9. El 100% de los maestros durante el año escolar fomentan el trabajo colaborativo como una estrategia de apoyo para el aprendizaje y de formación en liderazgo. 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F21F06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9.1A</w:t>
            </w:r>
            <w:r w:rsidR="00810308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plicación de estrategias de trabajo en equi</w:t>
            </w:r>
            <w:r w:rsidR="00614846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po: colaborativo o cooperativo, como estrategia para mejorar los aprendizajes y construir ciudadanía.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1122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10. Cada bimestre el 100% de los maestros desarrollan actividades que despiertan mayor interés por el aprendizaje  y  el desarrollo de habilidades en los estudiantes. 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F21F06" w:rsidP="00F21F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10.</w:t>
            </w:r>
            <w:r w:rsidR="00810308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</w:t>
            </w: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P</w:t>
            </w:r>
            <w:r w:rsidR="00810308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laneación de actividades interesantes, motivadoras y retadoras para los estudiantes.      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841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 El 100% de los maestros realizan refuerzos académicos a estudiantes con dificultades durante cada bimestre escolar.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F21F06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11.1 A</w:t>
            </w:r>
            <w:r w:rsidR="00810308"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signación de refuerzo académico a estudiantes con dificultades cada periodo.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561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12. Los docentes, directores de grupo, docente orientadora y directivos realizan seguimiento bimestral  a los casos de comportamiento y bajo rendimiento académico con el fin de obtener resultados favorables durante todo el año académico.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12.1Socialización  de   seguimiento de casos de comportamiento y bajo rendimiento académico.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811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13. El 100% de los maestros trabajan en equipo  con el coordinador académico durante el año escolar.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13.1Establecimiento de canales de comunicación asertivos y oportunos para enviar y recibir información.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4739E4" w:rsidRPr="004739E4" w:rsidTr="00BF6481">
        <w:trPr>
          <w:trHeight w:val="1523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AMBIENTE ESCOLAR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14.En cada sesión de clase el 100% de los maestros cuentan con una planeación pertinente, con suficiente material y uso eficiente del tiempo  para evitar que los estudiantes se distraigan y fomenten indisciplina  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14.1Planeación pertinente para cada sesión de clase teniendo en cuenta los momentos de la clase: exploración, estructuración, transferencia y valoración.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  <w:tr w:rsidR="00810308" w:rsidRPr="004739E4" w:rsidTr="008746D8">
        <w:trPr>
          <w:trHeight w:val="1106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15. El 100% de los maestros generan estrategias de gestión de aula (uso adecuado del tiempo, trabajo colaborativo, clima de aula) durante cada período de clase. </w:t>
            </w:r>
          </w:p>
        </w:tc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15.1Uso de estrategias de gestión de aula  eficaces.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sep-15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nov-15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308" w:rsidRPr="004739E4" w:rsidRDefault="00810308" w:rsidP="00810308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 </w:t>
            </w:r>
          </w:p>
        </w:tc>
      </w:tr>
    </w:tbl>
    <w:p w:rsidR="00810308" w:rsidRPr="004739E4" w:rsidRDefault="00810308"/>
    <w:p w:rsidR="008746D8" w:rsidRPr="004739E4" w:rsidRDefault="008746D8"/>
    <w:p w:rsidR="00272A5C" w:rsidRPr="004739E4" w:rsidRDefault="00272A5C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822"/>
        <w:gridCol w:w="4391"/>
        <w:gridCol w:w="1277"/>
        <w:gridCol w:w="849"/>
        <w:gridCol w:w="2019"/>
      </w:tblGrid>
      <w:tr w:rsidR="004739E4" w:rsidRPr="004739E4" w:rsidTr="00272A5C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5C" w:rsidRPr="004739E4" w:rsidRDefault="00272A5C" w:rsidP="00272A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bookmarkStart w:id="1" w:name="RANGE!A1:F5"/>
            <w:r w:rsidRPr="004739E4"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  <w:lastRenderedPageBreak/>
              <w:t>METAS EQUIPO HME: PADRES DE FAMILIA</w:t>
            </w:r>
            <w:bookmarkEnd w:id="1"/>
          </w:p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 </w:t>
            </w:r>
          </w:p>
        </w:tc>
      </w:tr>
      <w:tr w:rsidR="004739E4" w:rsidRPr="004739E4" w:rsidTr="00614846">
        <w:trPr>
          <w:trHeight w:val="699"/>
        </w:trPr>
        <w:tc>
          <w:tcPr>
            <w:tcW w:w="2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A5C" w:rsidRPr="004739E4" w:rsidRDefault="00272A5C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  <w:t>COMPONENTE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5C" w:rsidRPr="004739E4" w:rsidRDefault="00272A5C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  <w:t>ACCIONES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Cs w:val="20"/>
                <w:lang w:eastAsia="es-CO"/>
              </w:rPr>
              <w:t>FECHA DE INICIO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Cs w:val="20"/>
                <w:lang w:eastAsia="es-CO"/>
              </w:rPr>
              <w:t>FECHA FINAL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Cs w:val="20"/>
                <w:lang w:eastAsia="es-CO"/>
              </w:rPr>
              <w:t>PORCENTAJE ALCANZADO</w:t>
            </w:r>
          </w:p>
        </w:tc>
      </w:tr>
      <w:tr w:rsidR="004739E4" w:rsidRPr="004739E4" w:rsidTr="00614846">
        <w:trPr>
          <w:trHeight w:val="1579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5C" w:rsidRPr="004739E4" w:rsidRDefault="00272A5C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  <w:t>PROGRESO Y DESEMPEÑO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846" w:rsidRPr="004739E4" w:rsidRDefault="00272A5C" w:rsidP="006148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1. En reunión por grado</w:t>
            </w:r>
            <w:r w:rsidR="00614846"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, </w:t>
            </w: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el 90% de los padres de familia se compromete a acompañar y apoyar a sus hijos en el proceso educativo durante cada periodo escolar atendiendo las recomendaciones y asumiendo los compromisos pactados.</w:t>
            </w:r>
          </w:p>
          <w:p w:rsidR="00272A5C" w:rsidRPr="004739E4" w:rsidRDefault="00272A5C" w:rsidP="006148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5C" w:rsidRPr="004739E4" w:rsidRDefault="00272A5C" w:rsidP="00272A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1.1. Reunión de padres de familia bimestralmente dirigida por director de grado.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nov-15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 </w:t>
            </w:r>
          </w:p>
        </w:tc>
      </w:tr>
      <w:tr w:rsidR="004739E4" w:rsidRPr="004739E4" w:rsidTr="00614846">
        <w:trPr>
          <w:trHeight w:val="83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5C" w:rsidRPr="004739E4" w:rsidRDefault="00272A5C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  <w:t>EFICIENCIA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5C" w:rsidRPr="004739E4" w:rsidRDefault="00272A5C" w:rsidP="00272A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2. En reunión por grado  cada bimestre se realiza seguimiento individual al compromiso de apoyo  adquirido por los padres de familia. </w:t>
            </w:r>
          </w:p>
          <w:p w:rsidR="00614846" w:rsidRPr="004739E4" w:rsidRDefault="00614846" w:rsidP="00272A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5C" w:rsidRPr="004739E4" w:rsidRDefault="00272A5C" w:rsidP="00272A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2.1 Asistencia a reunión de padres y madres de familia  por periodo para seguimiento de compromiso de apoyo.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nov-15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 </w:t>
            </w:r>
          </w:p>
        </w:tc>
      </w:tr>
      <w:tr w:rsidR="00272A5C" w:rsidRPr="004739E4" w:rsidTr="00614846">
        <w:trPr>
          <w:trHeight w:val="113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5C" w:rsidRPr="004739E4" w:rsidRDefault="00272A5C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szCs w:val="20"/>
                <w:lang w:eastAsia="es-CO"/>
              </w:rPr>
              <w:t>AMBIENTE ESCOLAR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5C" w:rsidRPr="004739E4" w:rsidRDefault="00272A5C" w:rsidP="00272A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3. En reunión por grado  cada </w:t>
            </w:r>
            <w:r w:rsidR="00614846"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bimestre se realiza seguimiento </w:t>
            </w: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ind</w:t>
            </w:r>
            <w:r w:rsidR="00614846"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ividual al compromiso de apoyo </w:t>
            </w: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adquirido por los padres de familia.    </w:t>
            </w:r>
          </w:p>
          <w:p w:rsidR="00614846" w:rsidRPr="004739E4" w:rsidRDefault="00614846" w:rsidP="00272A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5C" w:rsidRPr="004739E4" w:rsidRDefault="00272A5C" w:rsidP="00272A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3.1. Seguimiento al compromiso de apoyo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nov-15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5C" w:rsidRPr="004739E4" w:rsidRDefault="00272A5C" w:rsidP="00272A5C">
            <w:pPr>
              <w:spacing w:after="0" w:line="240" w:lineRule="auto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 </w:t>
            </w:r>
          </w:p>
        </w:tc>
      </w:tr>
    </w:tbl>
    <w:p w:rsidR="00272A5C" w:rsidRPr="004739E4" w:rsidRDefault="00272A5C"/>
    <w:p w:rsidR="00A42A83" w:rsidRPr="004739E4" w:rsidRDefault="00A42A83"/>
    <w:p w:rsidR="00A42A83" w:rsidRPr="004739E4" w:rsidRDefault="00A42A83"/>
    <w:p w:rsidR="00A42A83" w:rsidRPr="004739E4" w:rsidRDefault="00A42A83"/>
    <w:p w:rsidR="00A42A83" w:rsidRPr="004739E4" w:rsidRDefault="00A42A83"/>
    <w:p w:rsidR="00A42A83" w:rsidRPr="004739E4" w:rsidRDefault="00A42A83"/>
    <w:p w:rsidR="00A42A83" w:rsidRPr="004739E4" w:rsidRDefault="00A42A83"/>
    <w:p w:rsidR="00A42A83" w:rsidRPr="004739E4" w:rsidRDefault="00A42A83"/>
    <w:p w:rsidR="00A42A83" w:rsidRPr="004739E4" w:rsidRDefault="00A42A83"/>
    <w:p w:rsidR="00A42A83" w:rsidRPr="004739E4" w:rsidRDefault="00A42A83"/>
    <w:p w:rsidR="00A42A83" w:rsidRPr="004739E4" w:rsidRDefault="00A42A83"/>
    <w:p w:rsidR="00A42A83" w:rsidRPr="004739E4" w:rsidRDefault="00A42A83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94"/>
        <w:gridCol w:w="4819"/>
        <w:gridCol w:w="1137"/>
        <w:gridCol w:w="992"/>
        <w:gridCol w:w="1591"/>
      </w:tblGrid>
      <w:tr w:rsidR="004739E4" w:rsidRPr="004739E4" w:rsidTr="00A42A83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A42A83" w:rsidP="00A42A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METAS EQUIPO HME: DIRECTIVOS</w:t>
            </w:r>
          </w:p>
        </w:tc>
      </w:tr>
      <w:tr w:rsidR="004739E4" w:rsidRPr="004739E4" w:rsidTr="00614846">
        <w:trPr>
          <w:trHeight w:val="890"/>
        </w:trPr>
        <w:tc>
          <w:tcPr>
            <w:tcW w:w="21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46" w:rsidRPr="004739E4" w:rsidRDefault="00614846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COMPONENTE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846" w:rsidRPr="004739E4" w:rsidRDefault="00614846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ACCIONES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46" w:rsidRPr="004739E4" w:rsidRDefault="00614846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lang w:eastAsia="es-CO"/>
              </w:rPr>
              <w:t>FECHA DE INICIO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46" w:rsidRPr="004739E4" w:rsidRDefault="00614846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lang w:eastAsia="es-CO"/>
              </w:rPr>
              <w:t>FECHA FINAL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846" w:rsidRPr="004739E4" w:rsidRDefault="00614846" w:rsidP="0061484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lang w:eastAsia="es-CO"/>
              </w:rPr>
              <w:t>PORCENTAJE ALCANZADO</w:t>
            </w:r>
          </w:p>
        </w:tc>
      </w:tr>
      <w:tr w:rsidR="004739E4" w:rsidRPr="004739E4" w:rsidTr="00016655">
        <w:trPr>
          <w:trHeight w:val="705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83" w:rsidRPr="004739E4" w:rsidRDefault="00A42A83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PROGRESO 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A42A83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1. El equipo Directivo realiza un seguimiento quincenal al plan de acción propuesto para alcanzar las metas. </w:t>
            </w:r>
          </w:p>
          <w:p w:rsidR="005E0E60" w:rsidRPr="004739E4" w:rsidRDefault="005E0E60" w:rsidP="005E0E6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2. </w:t>
            </w:r>
            <w:r w:rsidR="004739E4" w:rsidRPr="004739E4">
              <w:rPr>
                <w:rFonts w:ascii="Century Gothic" w:eastAsia="Times New Roman" w:hAnsi="Century Gothic" w:cs="Calibri"/>
                <w:lang w:eastAsia="es-CO"/>
              </w:rPr>
              <w:t xml:space="preserve">A noviembre de 2015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>El equipo directivo con la colaboración de los maestros, plantean un diagnóstico para el ingreso de estudiantes nuevos.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A42A83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1.1 Diseño  e implementación de estrategias y  formatos para garantizar seguimiento de procesos.  </w:t>
            </w:r>
          </w:p>
          <w:p w:rsidR="005E0E60" w:rsidRPr="004739E4" w:rsidRDefault="005E0E60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</w:p>
          <w:p w:rsidR="005E0E60" w:rsidRPr="004739E4" w:rsidRDefault="005E0E60" w:rsidP="005E0E6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2.1. Diseño y construcción de un diagnóstico académico por grado y un plan de apoyo para nivelar al estudiante nuevo en la institución.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016655">
        <w:trPr>
          <w:trHeight w:val="281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83" w:rsidRPr="004739E4" w:rsidRDefault="00A42A83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DESEMPEÑO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5E0E60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3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. A noviembre  de 2015 el equipo directivo realiza un seguimiento al 100% de los maestros en la ejecución de las estrategias para el fortalecimiento de las competencias lectoras y escritoras desde cada área.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                              4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. El 100% de  Directivos y maestros participan en la construcción de una cultura institucional que prioriza los procesos  y no el diligenciamiento de formatos para cumplir requisitos. 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A42A83" w:rsidP="001B6C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2. 1. Realización  quincenal o mensual del  seguimiento de estrategias para el fortalecimiento de competencias lectoras y escritoras en cada área y grado y  nivel educativo       aplicando los formatos diseñados.                                                                                                                           3.1. Realización  quincenal o mensual del seguimiento de estrategias para alcanzar la meta de mejoramiento y la  de excelencia, aplicando los formatos de seguimiento diseñados.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016655">
        <w:trPr>
          <w:trHeight w:val="1791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83" w:rsidRPr="004739E4" w:rsidRDefault="00A42A83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EFICIENCIA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1D5F2E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5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>. Los docentes, directores de grupo, docente orientadora y directivos realizan seguimiento bimestral  a los casos de comportamiento y bajo rendimiento académico con el fin de obtener resultados favorables durante todo el año académico.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1D5F2E" w:rsidP="0001665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5</w:t>
            </w:r>
            <w:r w:rsidR="00016655" w:rsidRPr="004739E4">
              <w:rPr>
                <w:rFonts w:ascii="Century Gothic" w:eastAsia="Times New Roman" w:hAnsi="Century Gothic" w:cs="Calibri"/>
                <w:lang w:eastAsia="es-CO"/>
              </w:rPr>
              <w:t>.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1 Socialización  en  Comité de Convivencia y Consejo Académico respectivamente  del   seguimiento de casos de comportamiento y bajo rendimiento académico. </w:t>
            </w:r>
            <w:r w:rsidR="00016655" w:rsidRPr="004739E4">
              <w:rPr>
                <w:rFonts w:ascii="Century Gothic" w:eastAsia="Times New Roman" w:hAnsi="Century Gothic" w:cs="Calibri"/>
                <w:b/>
                <w:lang w:eastAsia="es-CO"/>
              </w:rPr>
              <w:t xml:space="preserve">Sistema justo a tiempo: </w:t>
            </w:r>
            <w:r w:rsidR="00016655" w:rsidRPr="004739E4">
              <w:rPr>
                <w:rFonts w:ascii="Century Gothic" w:eastAsia="Times New Roman" w:hAnsi="Century Gothic" w:cs="Calibri"/>
                <w:lang w:eastAsia="es-CO"/>
              </w:rPr>
              <w:t>evitar que los procesos disciplinarios sean demorados.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A42A83">
        <w:trPr>
          <w:trHeight w:val="551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1D5F2E" w:rsidP="006E086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6</w:t>
            </w:r>
            <w:r w:rsidR="006E086F" w:rsidRPr="004739E4">
              <w:rPr>
                <w:rFonts w:ascii="Century Gothic" w:eastAsia="Times New Roman" w:hAnsi="Century Gothic" w:cs="Calibri"/>
                <w:lang w:eastAsia="es-CO"/>
              </w:rPr>
              <w:t>.</w:t>
            </w:r>
            <w:r w:rsidR="00016655" w:rsidRPr="004739E4">
              <w:rPr>
                <w:rFonts w:ascii="Century Gothic" w:eastAsia="Times New Roman" w:hAnsi="Century Gothic" w:cs="Calibri"/>
                <w:lang w:eastAsia="es-CO"/>
              </w:rPr>
              <w:t xml:space="preserve"> El 100% de los maestros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>, administrativos y personal de servicio, trabajan en equipo  con el coordinador  y el rector durante el año escolar.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1D5F2E" w:rsidP="0001665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6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>.1 Establecimiento de canales de comunicación asertivos y oportunos para enviar y recibir información; creaci</w:t>
            </w:r>
            <w:r w:rsidR="001B6C40" w:rsidRPr="004739E4">
              <w:rPr>
                <w:rFonts w:ascii="Century Gothic" w:eastAsia="Times New Roman" w:hAnsi="Century Gothic" w:cs="Calibri"/>
                <w:lang w:eastAsia="es-CO"/>
              </w:rPr>
              <w:t>ón de un correo institucional</w:t>
            </w:r>
            <w:r w:rsidR="00016655" w:rsidRPr="004739E4">
              <w:rPr>
                <w:rFonts w:ascii="Century Gothic" w:eastAsia="Times New Roman" w:hAnsi="Century Gothic" w:cs="Calibri"/>
                <w:lang w:eastAsia="es-CO"/>
              </w:rPr>
              <w:t>, un blog de directivos y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/o una página web institucional.                                                                                                          </w:t>
            </w:r>
            <w:r w:rsidR="006E086F" w:rsidRPr="004739E4">
              <w:rPr>
                <w:rFonts w:ascii="Century Gothic" w:eastAsia="Times New Roman" w:hAnsi="Century Gothic" w:cs="Calibri"/>
                <w:lang w:eastAsia="es-CO"/>
              </w:rPr>
              <w:t xml:space="preserve">                  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lastRenderedPageBreak/>
              <w:t>6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.2 Seguimiento de entrega de información solicitada  mediante la aplicación de formatos diseñados para tal fin.                                            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                              6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.3  Seguimiento a docentes y actores educativos  que incumplan con las responsabilidades de  su trabajo,  entrega oportuna de información y  la  realización de acciones  acordadas  para el mejoramiento de la calidad educativa.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lastRenderedPageBreak/>
              <w:t>sep-15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A42A83" w:rsidRPr="004739E4" w:rsidTr="00016655">
        <w:trPr>
          <w:trHeight w:val="2535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83" w:rsidRPr="004739E4" w:rsidRDefault="00A42A83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lastRenderedPageBreak/>
              <w:t>AMBIENTE ESCOLAR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83" w:rsidRPr="004739E4" w:rsidRDefault="001D5F2E" w:rsidP="00A42A8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7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. Los directivos realizan seguimiento mensual  a las estrategias planteadas por los maestros y docente orientadora con el fin de identificar los cambios generados en el ambiente escolar en el aula y en la institución.                                                                         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                              8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>.  El 100% de maestros y directivos aplican mecanismos internos y externos de comunicación asertiva para el mejoramiento del clima laboral.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F2E" w:rsidRPr="004739E4" w:rsidRDefault="001D5F2E" w:rsidP="001B6C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7</w:t>
            </w:r>
            <w:r w:rsidR="001B6C40" w:rsidRPr="004739E4">
              <w:rPr>
                <w:rFonts w:ascii="Century Gothic" w:eastAsia="Times New Roman" w:hAnsi="Century Gothic" w:cs="Calibri"/>
                <w:lang w:eastAsia="es-CO"/>
              </w:rPr>
              <w:t xml:space="preserve">.1. 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Diseño y aplicación de formatos de seguimiento a los cambios en el ambiente escolar detectados durante las rondas pedagógicas.       </w:t>
            </w:r>
            <w:r w:rsidR="001B6C40" w:rsidRPr="004739E4">
              <w:rPr>
                <w:rFonts w:ascii="Century Gothic" w:eastAsia="Times New Roman" w:hAnsi="Century Gothic" w:cs="Calibri"/>
                <w:lang w:eastAsia="es-CO"/>
              </w:rPr>
              <w:t xml:space="preserve">                                 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                         </w:t>
            </w:r>
          </w:p>
          <w:p w:rsidR="001D5F2E" w:rsidRPr="004739E4" w:rsidRDefault="001D5F2E" w:rsidP="001B6C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</w:p>
          <w:p w:rsidR="001D5F2E" w:rsidRPr="004739E4" w:rsidRDefault="001D5F2E" w:rsidP="001B6C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</w:p>
          <w:p w:rsidR="00A42A83" w:rsidRPr="004739E4" w:rsidRDefault="001D5F2E" w:rsidP="001B6C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8</w:t>
            </w:r>
            <w:r w:rsidR="006E086F" w:rsidRPr="004739E4">
              <w:rPr>
                <w:rFonts w:ascii="Century Gothic" w:eastAsia="Times New Roman" w:hAnsi="Century Gothic" w:cs="Calibri"/>
                <w:lang w:eastAsia="es-CO"/>
              </w:rPr>
              <w:t>.2</w:t>
            </w:r>
            <w:r w:rsidR="001B6C40" w:rsidRPr="004739E4">
              <w:rPr>
                <w:rFonts w:ascii="Century Gothic" w:eastAsia="Times New Roman" w:hAnsi="Century Gothic" w:cs="Calibri"/>
                <w:lang w:eastAsia="es-CO"/>
              </w:rPr>
              <w:t>. E</w:t>
            </w:r>
            <w:r w:rsidR="00A42A83" w:rsidRPr="004739E4">
              <w:rPr>
                <w:rFonts w:ascii="Century Gothic" w:eastAsia="Times New Roman" w:hAnsi="Century Gothic" w:cs="Calibri"/>
                <w:lang w:eastAsia="es-CO"/>
              </w:rPr>
              <w:t xml:space="preserve">stablecimiento de acuerdos para el tratamiento de la información institucional de manera confidencial y  por los medios creados para tal fin.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83" w:rsidRPr="004739E4" w:rsidRDefault="00A42A83" w:rsidP="00A42A8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</w:tbl>
    <w:p w:rsidR="00A42A83" w:rsidRPr="004739E4" w:rsidRDefault="00A42A83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p w:rsidR="00BB61B9" w:rsidRPr="004739E4" w:rsidRDefault="00BB61B9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819"/>
        <w:gridCol w:w="5104"/>
        <w:gridCol w:w="1134"/>
        <w:gridCol w:w="849"/>
        <w:gridCol w:w="1452"/>
      </w:tblGrid>
      <w:tr w:rsidR="004739E4" w:rsidRPr="004739E4" w:rsidTr="006A0AC4">
        <w:trPr>
          <w:trHeight w:val="330"/>
        </w:trPr>
        <w:tc>
          <w:tcPr>
            <w:tcW w:w="3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METAS EQUIPO HME: DOCENTE ORIENTADOR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739E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739E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739E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  <w:tr w:rsidR="004739E4" w:rsidRPr="004739E4" w:rsidTr="00016655">
        <w:trPr>
          <w:trHeight w:val="465"/>
        </w:trPr>
        <w:tc>
          <w:tcPr>
            <w:tcW w:w="21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COMPONENTE</w:t>
            </w:r>
          </w:p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ACCIONES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FECHA DE INICIO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FECHA FINAL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PORCENTAJE ALCANZADO</w:t>
            </w:r>
          </w:p>
        </w:tc>
      </w:tr>
      <w:tr w:rsidR="004739E4" w:rsidRPr="004739E4" w:rsidTr="00016655">
        <w:trPr>
          <w:trHeight w:val="125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PROGRESO 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1. El docente orientador diseña  un plan de apoyo para estudiantes con dificultades de aprendizaje</w:t>
            </w:r>
            <w:r w:rsidR="00016655" w:rsidRPr="004739E4">
              <w:rPr>
                <w:rFonts w:ascii="Century Gothic" w:eastAsia="Times New Roman" w:hAnsi="Century Gothic" w:cs="Calibri"/>
                <w:lang w:eastAsia="es-CO"/>
              </w:rPr>
              <w:t>,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lo  implementa  y realiza seguimiento cada periodo  con apoyo  de directores de grupo y cuidadores.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1. Diseño e implementación  de un plan de apoyo para estudiantes con dificultades de aprendizaje.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oct-15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016655">
        <w:trPr>
          <w:trHeight w:val="126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DESEMPEÑO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2. El equipo directivo y el docente orientador  diseñan, formulan y proponen actas de compromisos académicos y/o de comportamiento frente a dificultades identificadas en los estudiantes nuevos.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2.1. Diseño y aplicación de actas de compromiso con estudiantes y padres de familia de estudiantes nuevos.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oct-15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016655">
        <w:trPr>
          <w:trHeight w:val="148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EFICIENCIA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3.1 Cada bimestre la docente orientadora realiza seguimiento  a los casos de comportamiento y bajo rendimiento académico c</w:t>
            </w:r>
            <w:r w:rsidR="00016655" w:rsidRPr="004739E4">
              <w:rPr>
                <w:rFonts w:ascii="Century Gothic" w:eastAsia="Times New Roman" w:hAnsi="Century Gothic" w:cs="Calibri"/>
                <w:lang w:eastAsia="es-CO"/>
              </w:rPr>
              <w:t xml:space="preserve">on el fin de verificar avances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y ratificar compromisos.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3.1 Revisión periódica de avances  disciplinarios y académicos de estudiantes.                                                                  3.2.  Socialización de avances o dificultades en los casos de estudiantes con seguimiento disciplinario y académico ante Comité de Convivencia y Consejo Académico respectivamente.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016655">
        <w:trPr>
          <w:trHeight w:val="1504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4.1 A Septiembre de 2015 la docente orientadora realiza un diagnóstico de los niños con NEE en cada aula y gestiona la actualización en el SIMAT.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4.1. Diseña un formato,  recopila información y  la analiza  para identificar estudiantes con   NEE.   </w:t>
            </w:r>
          </w:p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4.2  Entrega reporte a coordinación y secretaría con el fin de actualizar   SIMAT.                                                                  4.3  Inicia proceso de seguimiento a los niños identificados con NEE.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016655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proofErr w:type="spellStart"/>
            <w:r w:rsidRPr="004739E4">
              <w:rPr>
                <w:rFonts w:ascii="Century Gothic" w:eastAsia="Times New Roman" w:hAnsi="Century Gothic" w:cs="Calibri"/>
                <w:lang w:eastAsia="es-CO"/>
              </w:rPr>
              <w:t>Sep</w:t>
            </w:r>
            <w:proofErr w:type="spellEnd"/>
            <w:r w:rsidR="00BB61B9" w:rsidRPr="004739E4">
              <w:rPr>
                <w:rFonts w:ascii="Century Gothic" w:eastAsia="Times New Roman" w:hAnsi="Century Gothic" w:cs="Calibri"/>
                <w:lang w:eastAsia="es-CO"/>
              </w:rPr>
              <w:t xml:space="preserve"> 04  2015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016655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proofErr w:type="spellStart"/>
            <w:r w:rsidRPr="004739E4">
              <w:rPr>
                <w:rFonts w:ascii="Century Gothic" w:eastAsia="Times New Roman" w:hAnsi="Century Gothic" w:cs="Calibri"/>
                <w:lang w:eastAsia="es-CO"/>
              </w:rPr>
              <w:t>Sep</w:t>
            </w:r>
            <w:proofErr w:type="spellEnd"/>
            <w:r w:rsidR="00BB61B9" w:rsidRPr="004739E4">
              <w:rPr>
                <w:rFonts w:ascii="Century Gothic" w:eastAsia="Times New Roman" w:hAnsi="Century Gothic" w:cs="Calibri"/>
                <w:lang w:eastAsia="es-CO"/>
              </w:rPr>
              <w:t xml:space="preserve"> 30 de 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016655">
        <w:trPr>
          <w:trHeight w:val="1401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AMBIENTE ESCOLAR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5.1 A septiembre de 2015 la docente orientadora  realiza un diagnóstico de aspectos claves relacionados con el clima escolar y socializa los hallazgos con el colectivo docente y directivo.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5.1. Diseño de encuesta para  realizar un diagnóstico de aspectos claves que afectan el clima escolar.   </w:t>
            </w:r>
          </w:p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5.2. Socialización de hallazgos en la encuesta al Equipo HME.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016655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proofErr w:type="spellStart"/>
            <w:r w:rsidRPr="004739E4">
              <w:rPr>
                <w:rFonts w:ascii="Century Gothic" w:eastAsia="Times New Roman" w:hAnsi="Century Gothic" w:cs="Calibri"/>
                <w:lang w:eastAsia="es-CO"/>
              </w:rPr>
              <w:t>Sep</w:t>
            </w:r>
            <w:proofErr w:type="spellEnd"/>
            <w:r w:rsidR="00BB61B9" w:rsidRPr="004739E4">
              <w:rPr>
                <w:rFonts w:ascii="Century Gothic" w:eastAsia="Times New Roman" w:hAnsi="Century Gothic" w:cs="Calibri"/>
                <w:lang w:eastAsia="es-CO"/>
              </w:rPr>
              <w:t xml:space="preserve"> 4 de 2015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016655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proofErr w:type="spellStart"/>
            <w:r w:rsidRPr="004739E4">
              <w:rPr>
                <w:rFonts w:ascii="Century Gothic" w:eastAsia="Times New Roman" w:hAnsi="Century Gothic" w:cs="Calibri"/>
                <w:lang w:eastAsia="es-CO"/>
              </w:rPr>
              <w:t>Sep</w:t>
            </w:r>
            <w:proofErr w:type="spellEnd"/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</w:t>
            </w:r>
            <w:r w:rsidR="00BB61B9" w:rsidRPr="004739E4">
              <w:rPr>
                <w:rFonts w:ascii="Century Gothic" w:eastAsia="Times New Roman" w:hAnsi="Century Gothic" w:cs="Calibri"/>
                <w:lang w:eastAsia="es-CO"/>
              </w:rPr>
              <w:t>30 de 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016655">
        <w:trPr>
          <w:trHeight w:val="267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6.</w:t>
            </w:r>
            <w:r w:rsidR="005F7CE7" w:rsidRPr="004739E4">
              <w:rPr>
                <w:rFonts w:ascii="Century Gothic" w:eastAsia="Times New Roman" w:hAnsi="Century Gothic" w:cs="Calibri"/>
                <w:lang w:eastAsia="es-CO"/>
              </w:rPr>
              <w:t xml:space="preserve">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La docente orientadora convoca  reuniones  bimestrales a manera de taller con grupos de estudiantes con comportamientos difíciles y /o dificultades </w:t>
            </w:r>
            <w:r w:rsidRPr="004739E4">
              <w:rPr>
                <w:rFonts w:ascii="Century Gothic" w:eastAsia="Times New Roman" w:hAnsi="Century Gothic" w:cs="Calibri"/>
                <w:lang w:eastAsia="es-CO"/>
              </w:rPr>
              <w:lastRenderedPageBreak/>
              <w:t xml:space="preserve">académicas  caracterizados por los maestros en el aula durante cada periodo y realiza seguimiento a los mismos.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lastRenderedPageBreak/>
              <w:t xml:space="preserve">6.1. Realización de reuniones con estudiantes de comportamientos difíciles y o dificultades académicas con el fin de identificar avances o dificultades en el proceso.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337A57" w:rsidRPr="004739E4" w:rsidTr="00016655">
        <w:trPr>
          <w:trHeight w:val="1259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7. Durante cada bimestre mediante el plan de apoyo la docente orientadora propone estrategias para mejorar situaciones de disciplina de estudiantes con dificultades de aprendizaje o de comportamiento.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1B9" w:rsidRPr="004739E4" w:rsidRDefault="00BB61B9" w:rsidP="00BB61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7.1 Diseño del plan de apoyo con sugerencias para mejorar disciplina en el aula.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B9" w:rsidRPr="004739E4" w:rsidRDefault="00BB61B9" w:rsidP="000166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1B9" w:rsidRPr="004739E4" w:rsidRDefault="00BB61B9" w:rsidP="00BB61B9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</w:tbl>
    <w:p w:rsidR="00BB61B9" w:rsidRPr="004739E4" w:rsidRDefault="00BB61B9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/>
    <w:p w:rsidR="00016655" w:rsidRPr="004739E4" w:rsidRDefault="00016655" w:rsidP="00016655">
      <w:pPr>
        <w:jc w:val="center"/>
        <w:rPr>
          <w:b/>
        </w:rPr>
      </w:pPr>
      <w:r w:rsidRPr="004739E4">
        <w:rPr>
          <w:b/>
        </w:rPr>
        <w:t>METAS PERSONAL ADMINISTRATIVO (SECRETARIAS) Y SERVICIOS GENERALES (ASEADORAS – CELADOR)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819"/>
        <w:gridCol w:w="5104"/>
        <w:gridCol w:w="1134"/>
        <w:gridCol w:w="849"/>
        <w:gridCol w:w="1452"/>
      </w:tblGrid>
      <w:tr w:rsidR="004739E4" w:rsidRPr="004739E4" w:rsidTr="005E0E60">
        <w:trPr>
          <w:trHeight w:val="465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55" w:rsidRPr="004739E4" w:rsidRDefault="00016655" w:rsidP="00BA43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COMPONENTE</w:t>
            </w:r>
          </w:p>
          <w:p w:rsidR="00016655" w:rsidRPr="004739E4" w:rsidRDefault="00016655" w:rsidP="00BA43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55" w:rsidRPr="004739E4" w:rsidRDefault="00016655" w:rsidP="00BA43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ACCIONES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55" w:rsidRPr="004739E4" w:rsidRDefault="00016655" w:rsidP="00BA43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FECHA DE INICIO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55" w:rsidRPr="004739E4" w:rsidRDefault="00016655" w:rsidP="00BA43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FECHA FINAL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55" w:rsidRPr="004739E4" w:rsidRDefault="00016655" w:rsidP="00BA43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sz w:val="20"/>
                <w:lang w:eastAsia="es-CO"/>
              </w:rPr>
              <w:t>PORCENTAJE ALCANZADO</w:t>
            </w:r>
          </w:p>
        </w:tc>
      </w:tr>
      <w:tr w:rsidR="004739E4" w:rsidRPr="004739E4" w:rsidTr="00040DEC">
        <w:trPr>
          <w:trHeight w:val="125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PROGRESO 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1. Cada bimestre el personal administrativo debe mantener el 100% de la  información de los estudiantes y de los maestros  de la institución  actualizada en las plataformas creadas para tal fin. </w:t>
            </w:r>
          </w:p>
          <w:p w:rsidR="007B5DDB" w:rsidRPr="004739E4" w:rsidRDefault="007B5DDB" w:rsidP="007B5DDB">
            <w:pPr>
              <w:pStyle w:val="Prrafodelista"/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1.1Mantener los documentos institucionales debidamente  archivados y disponibles para cuando sean solicitados por los entes gubernamentales y  el personal directivo. </w:t>
            </w:r>
          </w:p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1.2 Diligenciamiento oportuno  de informes solicitados por los entes gubernamentales y personal directivo de la institución.</w:t>
            </w:r>
          </w:p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DB" w:rsidRPr="004739E4" w:rsidRDefault="007B5DDB" w:rsidP="007B5DDB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  <w:bookmarkStart w:id="2" w:name="_GoBack"/>
            <w:bookmarkEnd w:id="2"/>
          </w:p>
        </w:tc>
      </w:tr>
      <w:tr w:rsidR="004739E4" w:rsidRPr="004739E4" w:rsidTr="00040DEC">
        <w:trPr>
          <w:trHeight w:val="126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DESEMPEÑO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2. En cada bimestre, el personal administrativo dispone de un sistema ágil y oportuno para la expedición de boletines académicos.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2D3E21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2.1 Poner a disposición de los maestros la plataforma de notas institucional en el tiempo requerido y necesario, para que sean más asertivos los seguimientos de maestros y padres de familia en el proceso académico y disciplinario.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DB" w:rsidRPr="004739E4" w:rsidRDefault="007B5DDB" w:rsidP="007B5DDB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A40CFD">
        <w:trPr>
          <w:trHeight w:val="148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EFICIENCIA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3. Durante el año escolar, el 100% del  personal administrativo desarrolla un proceso de matrícula ágil, correcto y oportuno que tiene en cuenta las necesidades del estudiante y sus familias.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2D3E21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3.1 Entrega de listados a maestros con base en la información diligenciada en el SIMAT. </w:t>
            </w:r>
          </w:p>
          <w:p w:rsidR="002D3E21" w:rsidRPr="004739E4" w:rsidRDefault="002D3E21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3.2 Plantear estrategia de matrículas, de una manera ágil y organizada para el archivo de documentos.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DB" w:rsidRPr="004739E4" w:rsidRDefault="007B5DDB" w:rsidP="007B5DDB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A40CFD">
        <w:trPr>
          <w:trHeight w:val="1504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4. Durante el año escolar, el 100% del personal administrativo posee un sistema de archivo que le permite disponer de la información de todos los estudiantes, así como expedir constancias de manera ágil, confiable y oportuna.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2D3E21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4.1 Organización del archivo de manera unificada, de todos los grados de la Institución con fácil acceso y de manera ágil.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proofErr w:type="spellStart"/>
            <w:r w:rsidRPr="004739E4">
              <w:rPr>
                <w:rFonts w:ascii="Century Gothic" w:eastAsia="Times New Roman" w:hAnsi="Century Gothic" w:cs="Calibri"/>
                <w:lang w:eastAsia="es-CO"/>
              </w:rPr>
              <w:t>Sep</w:t>
            </w:r>
            <w:proofErr w:type="spellEnd"/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04  2015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DB" w:rsidRPr="004739E4" w:rsidRDefault="007B5DDB" w:rsidP="007B5DDB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39E4" w:rsidRPr="004739E4" w:rsidTr="007B5DDB">
        <w:trPr>
          <w:trHeight w:val="1222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DB" w:rsidRPr="004739E4" w:rsidRDefault="007B5DDB" w:rsidP="007B5D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5. El 100% del personal administrativo y de servicios entrega oportunamente la documentación requerida para garantizar seguimiento de procesos educativos.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2D3E21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5</w:t>
            </w:r>
            <w:r w:rsidR="007B5DDB"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.1Entrega  oportuna de  las planillas y documentos solicitados por el personal docente de la institución para garantizar el seguimiento a los procesos educativos.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proofErr w:type="spellStart"/>
            <w:r w:rsidRPr="004739E4">
              <w:rPr>
                <w:rFonts w:ascii="Century Gothic" w:eastAsia="Times New Roman" w:hAnsi="Century Gothic" w:cs="Calibri"/>
                <w:lang w:eastAsia="es-CO"/>
              </w:rPr>
              <w:t>Sep</w:t>
            </w:r>
            <w:proofErr w:type="spellEnd"/>
            <w:r w:rsidRPr="004739E4">
              <w:rPr>
                <w:rFonts w:ascii="Century Gothic" w:eastAsia="Times New Roman" w:hAnsi="Century Gothic" w:cs="Calibri"/>
                <w:lang w:eastAsia="es-CO"/>
              </w:rPr>
              <w:t xml:space="preserve"> 04  2015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DDB" w:rsidRPr="004739E4" w:rsidRDefault="007B5DDB" w:rsidP="007B5DDB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</w:p>
        </w:tc>
      </w:tr>
      <w:tr w:rsidR="007B5DDB" w:rsidRPr="004739E4" w:rsidTr="007B5DDB">
        <w:trPr>
          <w:trHeight w:val="1401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DB" w:rsidRPr="004739E4" w:rsidRDefault="007B5DDB" w:rsidP="007B5DD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lastRenderedPageBreak/>
              <w:t>AMBIENTE ESCOLAR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DDB" w:rsidRPr="004739E4" w:rsidRDefault="007B5DDB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 xml:space="preserve">6. A  noviembre de 2015 las reclamaciones por inconformidad en el préstamo del servicio a miembros de la comunidad habrá disminuido en un 50%. </w:t>
            </w:r>
          </w:p>
          <w:p w:rsidR="002D3E21" w:rsidRPr="004739E4" w:rsidRDefault="002D3E21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7. El 100% del personal administrativo y de servicios, promueve el buen trato y el respeto hacia sí mismo y hacia los demás, durante el año académico.</w:t>
            </w:r>
          </w:p>
          <w:p w:rsidR="002D3E21" w:rsidRPr="004739E4" w:rsidRDefault="002D3E21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8. El 100% del personal de servicios procura mantener un ambiente agradable y limpio para los miembros de la comunidad educativa.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E21" w:rsidRPr="004739E4" w:rsidRDefault="002D3E21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6</w:t>
            </w:r>
            <w:r w:rsidR="007B5DDB"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.1Brindar un servicio cordial,  respetuoso y eficiente a  todos los miembros de la comunidad educativa.</w:t>
            </w:r>
          </w:p>
          <w:p w:rsidR="002D3E21" w:rsidRPr="004739E4" w:rsidRDefault="002D3E21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  <w:p w:rsidR="002D3E21" w:rsidRPr="004739E4" w:rsidRDefault="002D3E21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7.1 Procurar por mantener relaciones basadas en el respeto mutuo entre los miembros de la comunidad educativa.</w:t>
            </w:r>
          </w:p>
          <w:p w:rsidR="002D3E21" w:rsidRPr="004739E4" w:rsidRDefault="002D3E21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</w:p>
          <w:p w:rsidR="002D3E21" w:rsidRPr="004739E4" w:rsidRDefault="002D3E21" w:rsidP="002D3E2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Cs w:val="20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szCs w:val="20"/>
                <w:lang w:eastAsia="es-CO"/>
              </w:rPr>
              <w:t>8.1 Mantenimiento y aseo constante de los espacios compartidos, sala de profesores, sanitarios.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sep-15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DDB" w:rsidRPr="004739E4" w:rsidRDefault="007B5DDB" w:rsidP="007B5D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nov-15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DB" w:rsidRPr="004739E4" w:rsidRDefault="007B5DDB" w:rsidP="007B5DDB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39E4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</w:tbl>
    <w:p w:rsidR="00016655" w:rsidRPr="004739E4" w:rsidRDefault="00016655"/>
    <w:p w:rsidR="00016655" w:rsidRPr="004739E4" w:rsidRDefault="00016655"/>
    <w:sectPr w:rsidR="00016655" w:rsidRPr="004739E4" w:rsidSect="0081030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A0"/>
    <w:rsid w:val="00016655"/>
    <w:rsid w:val="00040DEC"/>
    <w:rsid w:val="00127B43"/>
    <w:rsid w:val="001B6C40"/>
    <w:rsid w:val="001D5F2E"/>
    <w:rsid w:val="00272A5C"/>
    <w:rsid w:val="002D3E21"/>
    <w:rsid w:val="003102AE"/>
    <w:rsid w:val="00336AFE"/>
    <w:rsid w:val="00337A57"/>
    <w:rsid w:val="00423DA0"/>
    <w:rsid w:val="00462152"/>
    <w:rsid w:val="004739E4"/>
    <w:rsid w:val="00474DBA"/>
    <w:rsid w:val="00516131"/>
    <w:rsid w:val="005E0E60"/>
    <w:rsid w:val="005F7CE7"/>
    <w:rsid w:val="00606F2A"/>
    <w:rsid w:val="00614846"/>
    <w:rsid w:val="006917DD"/>
    <w:rsid w:val="006A0AC4"/>
    <w:rsid w:val="006E086F"/>
    <w:rsid w:val="007B5DDB"/>
    <w:rsid w:val="00810308"/>
    <w:rsid w:val="00827D90"/>
    <w:rsid w:val="0086491C"/>
    <w:rsid w:val="008746D8"/>
    <w:rsid w:val="008D1D06"/>
    <w:rsid w:val="009528C6"/>
    <w:rsid w:val="00A42A83"/>
    <w:rsid w:val="00A77435"/>
    <w:rsid w:val="00AA2E42"/>
    <w:rsid w:val="00AA5276"/>
    <w:rsid w:val="00B1736C"/>
    <w:rsid w:val="00BB61B9"/>
    <w:rsid w:val="00BF6481"/>
    <w:rsid w:val="00CE2178"/>
    <w:rsid w:val="00E30D52"/>
    <w:rsid w:val="00E74ECE"/>
    <w:rsid w:val="00E83766"/>
    <w:rsid w:val="00F21F06"/>
    <w:rsid w:val="00F852CB"/>
    <w:rsid w:val="00FA4B92"/>
    <w:rsid w:val="00FC72B5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F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4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F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135B-1024-49F2-B8D1-5A5E2CCF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3068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2015-09-07T12:44:00Z</cp:lastPrinted>
  <dcterms:created xsi:type="dcterms:W3CDTF">2015-09-11T21:03:00Z</dcterms:created>
  <dcterms:modified xsi:type="dcterms:W3CDTF">2015-09-11T21:03:00Z</dcterms:modified>
</cp:coreProperties>
</file>